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6B" w:rsidRDefault="007C3029">
      <w:pPr>
        <w:jc w:val="center"/>
        <w:rPr>
          <w:rFonts w:ascii="Arial" w:hAnsi="Arial"/>
          <w:b/>
        </w:rPr>
      </w:pPr>
      <w:bookmarkStart w:id="0" w:name="_GoBack"/>
      <w:bookmarkEnd w:id="0"/>
      <w:r>
        <w:rPr>
          <w:rFonts w:ascii="Arial" w:hAnsi="Arial"/>
          <w:b/>
        </w:rPr>
        <w:t>FLYING SCHOLARSHIP PIP</w:t>
      </w:r>
    </w:p>
    <w:p w:rsidR="00EB3F6B" w:rsidRDefault="00EB3F6B">
      <w:pPr>
        <w:rPr>
          <w:rFonts w:ascii="Arial" w:hAnsi="Arial"/>
        </w:rPr>
      </w:pPr>
    </w:p>
    <w:p w:rsidR="00EB3F6B" w:rsidRDefault="007C3029">
      <w:pPr>
        <w:rPr>
          <w:rFonts w:ascii="Arial" w:hAnsi="Arial"/>
          <w:u w:val="single"/>
        </w:rPr>
      </w:pPr>
      <w:r>
        <w:rPr>
          <w:rFonts w:ascii="Arial" w:hAnsi="Arial"/>
          <w:u w:val="single"/>
        </w:rPr>
        <w:t xml:space="preserve">Examination Guidelines </w:t>
      </w:r>
    </w:p>
    <w:p w:rsidR="00EB3F6B" w:rsidRDefault="00EB3F6B">
      <w:pPr>
        <w:rPr>
          <w:rFonts w:ascii="Arial" w:hAnsi="Arial"/>
        </w:rPr>
      </w:pPr>
    </w:p>
    <w:p w:rsidR="00EB3F6B" w:rsidRDefault="007C3029">
      <w:pPr>
        <w:ind w:left="720" w:hanging="720"/>
        <w:rPr>
          <w:rFonts w:ascii="Arial" w:hAnsi="Arial"/>
        </w:rPr>
      </w:pPr>
      <w:r>
        <w:rPr>
          <w:rFonts w:ascii="Arial" w:hAnsi="Arial"/>
        </w:rPr>
        <w:t>1.</w:t>
      </w:r>
      <w:r>
        <w:rPr>
          <w:rFonts w:ascii="Arial" w:hAnsi="Arial"/>
        </w:rPr>
        <w:tab/>
      </w:r>
      <w:r>
        <w:rPr>
          <w:rFonts w:ascii="Arial" w:hAnsi="Arial"/>
          <w:u w:val="single"/>
        </w:rPr>
        <w:t>Purpose:</w:t>
      </w:r>
      <w:r>
        <w:rPr>
          <w:rFonts w:ascii="Arial" w:hAnsi="Arial"/>
        </w:rPr>
        <w:t xml:space="preserve"> The purpose of these guidelines is to help eligible Glider and Power Scholarship applicants prepare for, and hopefully achieve a satisfactory score on the Qualifying Examination. </w:t>
      </w:r>
    </w:p>
    <w:p w:rsidR="00EB3F6B" w:rsidRDefault="00EB3F6B">
      <w:pPr>
        <w:rPr>
          <w:rFonts w:ascii="Arial" w:hAnsi="Arial"/>
        </w:rPr>
      </w:pPr>
    </w:p>
    <w:p w:rsidR="00EB3F6B" w:rsidRDefault="007C3029">
      <w:pPr>
        <w:ind w:left="720" w:hanging="720"/>
        <w:rPr>
          <w:rFonts w:ascii="Arial" w:hAnsi="Arial"/>
        </w:rPr>
      </w:pPr>
      <w:r>
        <w:rPr>
          <w:rFonts w:ascii="Arial" w:hAnsi="Arial"/>
        </w:rPr>
        <w:t>2.</w:t>
      </w:r>
      <w:r>
        <w:rPr>
          <w:rFonts w:ascii="Arial" w:hAnsi="Arial"/>
        </w:rPr>
        <w:tab/>
      </w:r>
      <w:r>
        <w:rPr>
          <w:rFonts w:ascii="Arial" w:hAnsi="Arial"/>
          <w:u w:val="single"/>
        </w:rPr>
        <w:t>Preparation:</w:t>
      </w:r>
      <w:r>
        <w:rPr>
          <w:rFonts w:ascii="Arial" w:hAnsi="Arial"/>
        </w:rPr>
        <w:t xml:space="preserve"> All applicants should have completed the Flying Scholarship Preparatory Instruction Program based on the "From the Ground Up" Candidates should conduct the practice qualifying exam under the same conditions as stated for the real exam to familiarize themselves with that environment. </w:t>
      </w:r>
    </w:p>
    <w:p w:rsidR="00EB3F6B" w:rsidRDefault="00EB3F6B">
      <w:pPr>
        <w:rPr>
          <w:rFonts w:ascii="Arial" w:hAnsi="Arial"/>
        </w:rPr>
      </w:pPr>
    </w:p>
    <w:p w:rsidR="00EB3F6B" w:rsidRDefault="007C3029">
      <w:pPr>
        <w:rPr>
          <w:rFonts w:ascii="Arial" w:hAnsi="Arial"/>
        </w:rPr>
      </w:pPr>
      <w:r>
        <w:rPr>
          <w:rFonts w:ascii="Arial" w:hAnsi="Arial"/>
        </w:rPr>
        <w:t>3.</w:t>
      </w:r>
      <w:r>
        <w:rPr>
          <w:rFonts w:ascii="Arial" w:hAnsi="Arial"/>
        </w:rPr>
        <w:tab/>
      </w:r>
      <w:r>
        <w:rPr>
          <w:rFonts w:ascii="Arial" w:hAnsi="Arial"/>
          <w:u w:val="single"/>
        </w:rPr>
        <w:t>How to be Successful:</w:t>
      </w:r>
    </w:p>
    <w:p w:rsidR="00EB3F6B" w:rsidRDefault="007C3029">
      <w:pPr>
        <w:rPr>
          <w:rFonts w:ascii="Arial" w:hAnsi="Arial"/>
        </w:rPr>
      </w:pPr>
      <w:r>
        <w:rPr>
          <w:rFonts w:ascii="Arial" w:hAnsi="Arial"/>
        </w:rPr>
        <w:t xml:space="preserve"> </w:t>
      </w:r>
    </w:p>
    <w:p w:rsidR="00EB3F6B" w:rsidRDefault="007C3029">
      <w:pPr>
        <w:ind w:firstLine="720"/>
        <w:rPr>
          <w:rFonts w:ascii="Arial" w:hAnsi="Arial"/>
        </w:rPr>
      </w:pPr>
      <w:proofErr w:type="gramStart"/>
      <w:r>
        <w:rPr>
          <w:rFonts w:ascii="Arial" w:hAnsi="Arial"/>
        </w:rPr>
        <w:t>a</w:t>
      </w:r>
      <w:proofErr w:type="gramEnd"/>
      <w:r>
        <w:rPr>
          <w:rFonts w:ascii="Arial" w:hAnsi="Arial"/>
        </w:rPr>
        <w:t>.</w:t>
      </w:r>
      <w:r>
        <w:rPr>
          <w:rFonts w:ascii="Arial" w:hAnsi="Arial"/>
        </w:rPr>
        <w:tab/>
        <w:t xml:space="preserve">remain exam prepared, relaxed and confident, </w:t>
      </w:r>
    </w:p>
    <w:p w:rsidR="00EB3F6B" w:rsidRDefault="00EB3F6B">
      <w:pPr>
        <w:ind w:left="1440" w:hanging="720"/>
        <w:rPr>
          <w:rFonts w:ascii="Arial" w:hAnsi="Arial"/>
        </w:rPr>
      </w:pPr>
    </w:p>
    <w:p w:rsidR="00EB3F6B" w:rsidRDefault="007C3029">
      <w:pPr>
        <w:ind w:left="1440" w:hanging="720"/>
        <w:rPr>
          <w:rFonts w:ascii="Arial" w:hAnsi="Arial"/>
        </w:rPr>
      </w:pPr>
      <w:proofErr w:type="gramStart"/>
      <w:r>
        <w:rPr>
          <w:rFonts w:ascii="Arial" w:hAnsi="Arial"/>
        </w:rPr>
        <w:t>b</w:t>
      </w:r>
      <w:proofErr w:type="gramEnd"/>
      <w:r>
        <w:rPr>
          <w:rFonts w:ascii="Arial" w:hAnsi="Arial"/>
        </w:rPr>
        <w:t>.</w:t>
      </w:r>
      <w:r>
        <w:rPr>
          <w:rFonts w:ascii="Arial" w:hAnsi="Arial"/>
        </w:rPr>
        <w:tab/>
        <w:t>read the instructions carefully and make sure you understand them,.</w:t>
      </w:r>
    </w:p>
    <w:p w:rsidR="00EB3F6B" w:rsidRDefault="00EB3F6B">
      <w:pPr>
        <w:ind w:left="1440" w:hanging="720"/>
        <w:rPr>
          <w:rFonts w:ascii="Arial" w:hAnsi="Arial"/>
        </w:rPr>
      </w:pPr>
    </w:p>
    <w:p w:rsidR="00EB3F6B" w:rsidRDefault="007C3029">
      <w:pPr>
        <w:ind w:firstLine="720"/>
        <w:rPr>
          <w:rFonts w:ascii="Arial" w:hAnsi="Arial"/>
        </w:rPr>
      </w:pPr>
      <w:proofErr w:type="gramStart"/>
      <w:r>
        <w:rPr>
          <w:rFonts w:ascii="Arial" w:hAnsi="Arial"/>
        </w:rPr>
        <w:t>c</w:t>
      </w:r>
      <w:proofErr w:type="gramEnd"/>
      <w:r>
        <w:rPr>
          <w:rFonts w:ascii="Arial" w:hAnsi="Arial"/>
        </w:rPr>
        <w:t>.</w:t>
      </w:r>
      <w:r>
        <w:rPr>
          <w:rFonts w:ascii="Arial" w:hAnsi="Arial"/>
        </w:rPr>
        <w:tab/>
        <w:t xml:space="preserve">read each question very carefully. Do not jump to conclusions, </w:t>
      </w:r>
    </w:p>
    <w:p w:rsidR="00EB3F6B" w:rsidRDefault="00EB3F6B">
      <w:pPr>
        <w:ind w:left="1440" w:hanging="720"/>
        <w:rPr>
          <w:rFonts w:ascii="Arial" w:hAnsi="Arial"/>
        </w:rPr>
      </w:pPr>
    </w:p>
    <w:p w:rsidR="00EB3F6B" w:rsidRDefault="007C3029">
      <w:pPr>
        <w:ind w:left="1440" w:hanging="720"/>
        <w:rPr>
          <w:rFonts w:ascii="Arial" w:hAnsi="Arial"/>
        </w:rPr>
      </w:pPr>
      <w:proofErr w:type="gramStart"/>
      <w:r>
        <w:rPr>
          <w:rFonts w:ascii="Arial" w:hAnsi="Arial"/>
        </w:rPr>
        <w:t>d</w:t>
      </w:r>
      <w:proofErr w:type="gramEnd"/>
      <w:r>
        <w:rPr>
          <w:rFonts w:ascii="Arial" w:hAnsi="Arial"/>
        </w:rPr>
        <w:t>.</w:t>
      </w:r>
      <w:r>
        <w:rPr>
          <w:rFonts w:ascii="Arial" w:hAnsi="Arial"/>
        </w:rPr>
        <w:tab/>
        <w:t>do not waste time on a question that you are not sure of the answer. Skip it and answer all of the questions you are sure of, then return and spend time on the hard questions. Ensure that you leave a blank space for the question,</w:t>
      </w:r>
    </w:p>
    <w:p w:rsidR="00EB3F6B" w:rsidRDefault="007C3029">
      <w:pPr>
        <w:ind w:left="1440" w:hanging="720"/>
        <w:rPr>
          <w:rFonts w:ascii="Arial" w:hAnsi="Arial"/>
        </w:rPr>
      </w:pPr>
      <w:r>
        <w:rPr>
          <w:rFonts w:ascii="Arial" w:hAnsi="Arial"/>
        </w:rPr>
        <w:t xml:space="preserve"> </w:t>
      </w:r>
    </w:p>
    <w:p w:rsidR="00EB3F6B" w:rsidRDefault="007C3029">
      <w:pPr>
        <w:ind w:firstLine="720"/>
        <w:rPr>
          <w:rFonts w:ascii="Arial" w:hAnsi="Arial"/>
        </w:rPr>
      </w:pPr>
      <w:proofErr w:type="gramStart"/>
      <w:r>
        <w:rPr>
          <w:rFonts w:ascii="Arial" w:hAnsi="Arial"/>
        </w:rPr>
        <w:t>e</w:t>
      </w:r>
      <w:proofErr w:type="gramEnd"/>
      <w:r>
        <w:rPr>
          <w:rFonts w:ascii="Arial" w:hAnsi="Arial"/>
        </w:rPr>
        <w:t>.</w:t>
      </w:r>
      <w:r>
        <w:rPr>
          <w:rFonts w:ascii="Arial" w:hAnsi="Arial"/>
        </w:rPr>
        <w:tab/>
        <w:t xml:space="preserve">review all questions to ensure you have answered them all, and </w:t>
      </w:r>
    </w:p>
    <w:p w:rsidR="00EB3F6B" w:rsidRDefault="00EB3F6B">
      <w:pPr>
        <w:ind w:left="1440" w:hanging="720"/>
        <w:rPr>
          <w:rFonts w:ascii="Arial" w:hAnsi="Arial"/>
        </w:rPr>
      </w:pPr>
    </w:p>
    <w:p w:rsidR="00EB3F6B" w:rsidRDefault="007C3029">
      <w:pPr>
        <w:ind w:left="1440" w:hanging="720"/>
        <w:rPr>
          <w:rFonts w:ascii="Arial" w:hAnsi="Arial"/>
        </w:rPr>
      </w:pPr>
      <w:proofErr w:type="gramStart"/>
      <w:r>
        <w:rPr>
          <w:rFonts w:ascii="Arial" w:hAnsi="Arial"/>
        </w:rPr>
        <w:t>f</w:t>
      </w:r>
      <w:proofErr w:type="gramEnd"/>
      <w:r>
        <w:rPr>
          <w:rFonts w:ascii="Arial" w:hAnsi="Arial"/>
        </w:rPr>
        <w:t>.</w:t>
      </w:r>
      <w:r>
        <w:rPr>
          <w:rFonts w:ascii="Arial" w:hAnsi="Arial"/>
        </w:rPr>
        <w:tab/>
        <w:t xml:space="preserve">do no change answers unless you are positive you have made a mistake. Your first hunch is usually correct. </w:t>
      </w:r>
    </w:p>
    <w:p w:rsidR="00EB3F6B" w:rsidRDefault="00EB3F6B">
      <w:pPr>
        <w:rPr>
          <w:rFonts w:ascii="Arial" w:hAnsi="Arial"/>
        </w:rPr>
      </w:pPr>
    </w:p>
    <w:p w:rsidR="00EB3F6B" w:rsidRDefault="007C3029">
      <w:pPr>
        <w:ind w:left="720" w:hanging="720"/>
        <w:rPr>
          <w:rFonts w:ascii="Arial" w:hAnsi="Arial"/>
        </w:rPr>
      </w:pPr>
      <w:r>
        <w:rPr>
          <w:rFonts w:ascii="Arial" w:hAnsi="Arial"/>
        </w:rPr>
        <w:t>4.</w:t>
      </w:r>
      <w:r>
        <w:rPr>
          <w:rFonts w:ascii="Arial" w:hAnsi="Arial"/>
        </w:rPr>
        <w:tab/>
      </w:r>
      <w:r>
        <w:rPr>
          <w:rFonts w:ascii="Arial" w:hAnsi="Arial"/>
          <w:u w:val="single"/>
        </w:rPr>
        <w:t>Post Practice Exam Review:</w:t>
      </w:r>
      <w:r>
        <w:rPr>
          <w:rFonts w:ascii="Arial" w:hAnsi="Arial"/>
        </w:rPr>
        <w:t xml:space="preserve"> After you correct your practice exam, review all areas, particularly those areas where you had incorrect answers. </w:t>
      </w:r>
    </w:p>
    <w:p w:rsidR="00EB3F6B" w:rsidRDefault="00EB3F6B">
      <w:pPr>
        <w:rPr>
          <w:rFonts w:ascii="Arial" w:hAnsi="Arial"/>
        </w:rPr>
      </w:pPr>
    </w:p>
    <w:p w:rsidR="00EB3F6B" w:rsidRDefault="007C3029">
      <w:pPr>
        <w:ind w:left="720" w:hanging="720"/>
        <w:rPr>
          <w:rFonts w:ascii="Arial" w:hAnsi="Arial"/>
        </w:rPr>
      </w:pPr>
      <w:r>
        <w:rPr>
          <w:rFonts w:ascii="Arial" w:hAnsi="Arial"/>
        </w:rPr>
        <w:t>5.</w:t>
      </w:r>
      <w:r>
        <w:rPr>
          <w:rFonts w:ascii="Arial" w:hAnsi="Arial"/>
        </w:rPr>
        <w:tab/>
      </w:r>
      <w:r>
        <w:rPr>
          <w:rFonts w:ascii="Arial" w:hAnsi="Arial"/>
          <w:u w:val="single"/>
        </w:rPr>
        <w:t>Incentive:</w:t>
      </w:r>
      <w:r>
        <w:rPr>
          <w:rFonts w:ascii="Arial" w:hAnsi="Arial"/>
        </w:rPr>
        <w:t xml:space="preserve"> Remember the qualifying exam counts for 25% of the total marks you can receive during the selection process. A high mark on the qualifying exam could be the difference as to whether you receive a scholarship or not. </w:t>
      </w:r>
    </w:p>
    <w:p w:rsidR="00EB3F6B" w:rsidRDefault="00EB3F6B">
      <w:pPr>
        <w:rPr>
          <w:rFonts w:ascii="Arial" w:hAnsi="Arial"/>
        </w:rPr>
      </w:pPr>
    </w:p>
    <w:p w:rsidR="00EB3F6B" w:rsidRDefault="007C3029">
      <w:pPr>
        <w:jc w:val="center"/>
        <w:rPr>
          <w:rFonts w:ascii="Arial" w:hAnsi="Arial"/>
          <w:b/>
        </w:rPr>
      </w:pPr>
      <w:r>
        <w:rPr>
          <w:rFonts w:ascii="Arial" w:hAnsi="Arial"/>
          <w:b/>
        </w:rPr>
        <w:t>WORK HARD &amp; GOOD LUCK!</w:t>
      </w:r>
    </w:p>
    <w:sectPr w:rsidR="00EB3F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17ECE"/>
    <w:multiLevelType w:val="singleLevel"/>
    <w:tmpl w:val="06D0B8F8"/>
    <w:lvl w:ilvl="0">
      <w:start w:val="1"/>
      <w:numFmt w:val="lowerLetter"/>
      <w:lvlText w:val="%1."/>
      <w:lvlJc w:val="left"/>
      <w:pPr>
        <w:tabs>
          <w:tab w:val="num" w:pos="480"/>
        </w:tabs>
        <w:ind w:left="480" w:hanging="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029"/>
    <w:rsid w:val="006A5517"/>
    <w:rsid w:val="007C3029"/>
    <w:rsid w:val="00EB3F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5F2635EE4C704C9E69E27DFACA437A" ma:contentTypeVersion="0" ma:contentTypeDescription="Create a new document." ma:contentTypeScope="" ma:versionID="f1065a33addb61883c9d7932d601d01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FC4AC3-7E53-424F-B519-1CB46DD49365}"/>
</file>

<file path=customXml/itemProps2.xml><?xml version="1.0" encoding="utf-8"?>
<ds:datastoreItem xmlns:ds="http://schemas.openxmlformats.org/officeDocument/2006/customXml" ds:itemID="{CF28B255-6EE2-4E43-B570-B0CD100F6DD2}"/>
</file>

<file path=customXml/itemProps3.xml><?xml version="1.0" encoding="utf-8"?>
<ds:datastoreItem xmlns:ds="http://schemas.openxmlformats.org/officeDocument/2006/customXml" ds:itemID="{AFC7AE01-58FB-43F5-9261-2218278D9F50}"/>
</file>

<file path=customXml/itemProps4.xml><?xml version="1.0" encoding="utf-8"?>
<ds:datastoreItem xmlns:ds="http://schemas.openxmlformats.org/officeDocument/2006/customXml" ds:itemID="{CF28B255-6EE2-4E43-B570-B0CD100F6DD2}"/>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REGIONAL GLIDING SCHOOL (ATLANTIC) FLYING SCHOLARSHIP </vt:lpstr>
    </vt:vector>
  </TitlesOfParts>
  <Company>IT</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GLIDING SCHOOL (ATLANTIC) FLYING SCHOLARSHIP</dc:title>
  <dc:creator>12Wing</dc:creator>
  <cp:lastModifiedBy>Michael MacAulay</cp:lastModifiedBy>
  <cp:revision>3</cp:revision>
  <cp:lastPrinted>2001-03-21T18:43:00Z</cp:lastPrinted>
  <dcterms:created xsi:type="dcterms:W3CDTF">2016-10-09T13:12:00Z</dcterms:created>
  <dcterms:modified xsi:type="dcterms:W3CDTF">2016-10-09T13:43:00Z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0x010100025F2635EE4C704C9E69E27DFACA437A</vt:lpwstr>
  </property>
  <property fmtid="{D5CDD505-2E9C-101B-9397-08002B2CF9AE}" pid="3" name="_dlc_DocIdItemGuid">
    <vt:lpwstr>b96a2adc-7568-4571-af63-ddd2945f7a48</vt:lpwstr>
  </property>
</Properties>
</file>